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832" w:rsidRDefault="00E63B08">
      <w:pPr>
        <w:pStyle w:val="Header"/>
        <w:tabs>
          <w:tab w:val="clear" w:pos="4536"/>
          <w:tab w:val="clear" w:pos="9072"/>
          <w:tab w:val="right" w:pos="9492"/>
        </w:tabs>
        <w:snapToGrid w:val="0"/>
        <w:rPr>
          <w:rFonts w:eastAsia="宋体" w:cs="Arial"/>
          <w:sz w:val="22"/>
          <w:szCs w:val="22"/>
          <w:lang w:eastAsia="zh-CN"/>
        </w:rPr>
      </w:pPr>
      <w:r>
        <w:rPr>
          <w:rFonts w:cs="Arial"/>
          <w:sz w:val="22"/>
          <w:szCs w:val="22"/>
        </w:rPr>
        <w:t>3GPP TSG RAN WG1 Meeting #</w:t>
      </w:r>
      <w:r>
        <w:rPr>
          <w:rFonts w:eastAsia="宋体" w:cs="Arial"/>
          <w:sz w:val="22"/>
          <w:szCs w:val="22"/>
          <w:lang w:eastAsia="zh-CN"/>
        </w:rPr>
        <w:t>11</w:t>
      </w:r>
      <w:r w:rsidR="00DD156F">
        <w:rPr>
          <w:rFonts w:eastAsia="宋体" w:cs="Arial"/>
          <w:sz w:val="22"/>
          <w:szCs w:val="22"/>
          <w:lang w:eastAsia="zh-CN"/>
        </w:rPr>
        <w:t>6</w:t>
      </w:r>
      <w:r w:rsidR="008E7E8C">
        <w:rPr>
          <w:rFonts w:eastAsia="宋体" w:cs="Arial"/>
          <w:sz w:val="22"/>
          <w:szCs w:val="22"/>
          <w:lang w:eastAsia="zh-CN"/>
        </w:rPr>
        <w:t>-</w:t>
      </w:r>
      <w:r w:rsidR="008E7E8C">
        <w:rPr>
          <w:rFonts w:eastAsia="宋体" w:cs="Arial" w:hint="eastAsia"/>
          <w:sz w:val="22"/>
          <w:szCs w:val="22"/>
          <w:lang w:eastAsia="zh-CN"/>
        </w:rPr>
        <w:t>bis</w:t>
      </w:r>
      <w:r>
        <w:rPr>
          <w:rFonts w:eastAsia="宋体" w:cs="Arial"/>
          <w:sz w:val="23"/>
          <w:szCs w:val="23"/>
          <w:lang w:eastAsia="zh-CN"/>
        </w:rPr>
        <w:tab/>
      </w:r>
      <w:r w:rsidR="00C51B95" w:rsidRPr="00C51B95">
        <w:rPr>
          <w:rFonts w:cs="Arial"/>
          <w:sz w:val="22"/>
          <w:szCs w:val="22"/>
          <w:lang w:eastAsia="ja-JP"/>
        </w:rPr>
        <w:t>R1-2402067</w:t>
      </w:r>
    </w:p>
    <w:p w:rsidR="00855832" w:rsidRDefault="008E7E8C">
      <w:pPr>
        <w:tabs>
          <w:tab w:val="center" w:pos="4536"/>
          <w:tab w:val="right" w:pos="9072"/>
        </w:tabs>
        <w:rPr>
          <w:rFonts w:ascii="Arial" w:eastAsia="宋体" w:hAnsi="Arial" w:cs="Arial"/>
          <w:b/>
          <w:bCs/>
          <w:sz w:val="22"/>
        </w:rPr>
      </w:pPr>
      <w:r w:rsidRPr="00012A87">
        <w:rPr>
          <w:rFonts w:ascii="Arial" w:hAnsi="Arial"/>
          <w:b/>
          <w:sz w:val="22"/>
        </w:rPr>
        <w:t>Changsha, Hunan Province, China, April 15</w:t>
      </w:r>
      <w:r w:rsidRPr="00012A87">
        <w:rPr>
          <w:rFonts w:ascii="Arial" w:hAnsi="Arial"/>
          <w:b/>
          <w:sz w:val="22"/>
          <w:vertAlign w:val="superscript"/>
        </w:rPr>
        <w:t>th</w:t>
      </w:r>
      <w:r w:rsidRPr="00012A87">
        <w:rPr>
          <w:rFonts w:ascii="Arial" w:hAnsi="Arial"/>
          <w:b/>
          <w:sz w:val="22"/>
        </w:rPr>
        <w:t xml:space="preserve"> – 19</w:t>
      </w:r>
      <w:r w:rsidRPr="00012A87">
        <w:rPr>
          <w:rFonts w:ascii="Arial" w:hAnsi="Arial"/>
          <w:b/>
          <w:sz w:val="22"/>
          <w:vertAlign w:val="superscript"/>
        </w:rPr>
        <w:t>th</w:t>
      </w:r>
      <w:r w:rsidRPr="00012A87">
        <w:rPr>
          <w:rFonts w:ascii="Arial" w:hAnsi="Arial"/>
          <w:b/>
          <w:sz w:val="22"/>
        </w:rPr>
        <w:t>,</w:t>
      </w:r>
      <w:r>
        <w:rPr>
          <w:rFonts w:ascii="Arial" w:hAnsi="Arial"/>
          <w:b/>
          <w:sz w:val="22"/>
        </w:rPr>
        <w:t xml:space="preserve"> 2024</w:t>
      </w:r>
    </w:p>
    <w:p w:rsidR="00855832" w:rsidRDefault="00E63B08">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855832" w:rsidRDefault="00E63B08">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C51B95" w:rsidRPr="00C51B95">
        <w:rPr>
          <w:sz w:val="22"/>
          <w:szCs w:val="22"/>
        </w:rPr>
        <w:t>Discussion on SRS power scaling</w:t>
      </w:r>
    </w:p>
    <w:p w:rsidR="00855832" w:rsidRDefault="00E63B08">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7</w:t>
      </w:r>
    </w:p>
    <w:p w:rsidR="00855832" w:rsidRDefault="00E63B08">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855832" w:rsidRDefault="00E63B08">
      <w:pPr>
        <w:snapToGrid w:val="0"/>
        <w:spacing w:beforeLines="30" w:before="72" w:afterLines="30" w:after="72" w:line="288" w:lineRule="auto"/>
        <w:jc w:val="both"/>
        <w:rPr>
          <w:rFonts w:eastAsia="等线"/>
          <w:bCs/>
          <w:szCs w:val="18"/>
        </w:rPr>
      </w:pPr>
      <w:r>
        <w:rPr>
          <w:rFonts w:eastAsia="宋体" w:cs="Times" w:hint="eastAsia"/>
          <w:bCs/>
        </w:rPr>
        <w:t>In RAN1#11</w:t>
      </w:r>
      <w:r w:rsidR="00C51B95">
        <w:rPr>
          <w:rFonts w:eastAsia="宋体" w:cs="Times"/>
          <w:bCs/>
        </w:rPr>
        <w:t>6</w:t>
      </w:r>
      <w:r>
        <w:rPr>
          <w:rFonts w:eastAsia="宋体" w:cs="Times" w:hint="eastAsia"/>
          <w:bCs/>
        </w:rPr>
        <w:t xml:space="preserve">, </w:t>
      </w:r>
      <w:r w:rsidR="00DD5DEB">
        <w:rPr>
          <w:rFonts w:eastAsia="宋体" w:cs="Times" w:hint="eastAsia"/>
          <w:bCs/>
        </w:rPr>
        <w:t>the</w:t>
      </w:r>
      <w:r w:rsidR="00DD5DEB">
        <w:rPr>
          <w:rFonts w:eastAsia="宋体" w:cs="Times"/>
          <w:bCs/>
        </w:rPr>
        <w:t xml:space="preserve"> </w:t>
      </w:r>
      <w:r>
        <w:rPr>
          <w:rFonts w:eastAsia="宋体" w:cs="Times" w:hint="eastAsia"/>
          <w:bCs/>
        </w:rPr>
        <w:t xml:space="preserve">issue </w:t>
      </w:r>
      <w:r w:rsidR="00820E00">
        <w:rPr>
          <w:rFonts w:eastAsia="宋体" w:cs="Times"/>
          <w:bCs/>
        </w:rPr>
        <w:t xml:space="preserve">on </w:t>
      </w:r>
      <w:r w:rsidR="00C51B95">
        <w:rPr>
          <w:rFonts w:eastAsia="宋体" w:cs="Times" w:hint="eastAsia"/>
          <w:bCs/>
        </w:rPr>
        <w:t>SRS</w:t>
      </w:r>
      <w:r w:rsidR="00C51B95">
        <w:rPr>
          <w:rFonts w:eastAsia="宋体" w:cs="Times"/>
          <w:bCs/>
        </w:rPr>
        <w:t xml:space="preserve"> transmission occasion</w:t>
      </w:r>
      <w:r w:rsidR="002F323C">
        <w:rPr>
          <w:rFonts w:eastAsia="宋体" w:cs="Times"/>
          <w:bCs/>
        </w:rPr>
        <w:t>, fully/partial overlapping between SRS simultaneous transmission</w:t>
      </w:r>
      <w:r w:rsidR="00C51B95">
        <w:rPr>
          <w:rFonts w:eastAsia="宋体" w:cs="Times"/>
          <w:bCs/>
        </w:rPr>
        <w:t xml:space="preserve"> and power scaling </w:t>
      </w:r>
      <w:r w:rsidR="00EB3378">
        <w:rPr>
          <w:rFonts w:eastAsia="宋体" w:cs="Times" w:hint="eastAsia"/>
          <w:bCs/>
        </w:rPr>
        <w:t>were</w:t>
      </w:r>
      <w:r w:rsidR="00EB3378">
        <w:rPr>
          <w:rFonts w:eastAsia="宋体" w:cs="Times"/>
          <w:bCs/>
        </w:rPr>
        <w:t xml:space="preserve"> </w:t>
      </w:r>
      <w:r>
        <w:rPr>
          <w:rFonts w:eastAsia="宋体" w:cs="Times" w:hint="eastAsia"/>
          <w:bCs/>
        </w:rPr>
        <w:t>raised and discussed</w:t>
      </w:r>
      <w:r w:rsidR="00DD5DEB">
        <w:rPr>
          <w:rFonts w:eastAsia="宋体" w:cs="Times"/>
          <w:bCs/>
        </w:rPr>
        <w:t>, and then we have the following Chairman’s guidance for subsequent discussion</w:t>
      </w:r>
      <w:r w:rsidR="002F323C">
        <w:rPr>
          <w:rFonts w:eastAsia="宋体" w:cs="Times"/>
          <w:bCs/>
        </w:rPr>
        <w:t xml:space="preserve"> on SRS power scaling</w:t>
      </w:r>
      <w:r>
        <w:rPr>
          <w:rFonts w:eastAsia="宋体" w:cs="Times"/>
          <w:bCs/>
        </w:rPr>
        <w:t xml:space="preserve"> </w:t>
      </w:r>
      <w:r>
        <w:rPr>
          <w:rFonts w:eastAsia="宋体" w:cs="Times" w:hint="eastAsia"/>
          <w:bCs/>
          <w:vertAlign w:val="superscript"/>
        </w:rPr>
        <w:t>[1]</w:t>
      </w:r>
      <w:r>
        <w:rPr>
          <w:rFonts w:eastAsia="等线" w:hint="eastAsia"/>
          <w:bCs/>
          <w:szCs w:val="18"/>
        </w:rPr>
        <w:t xml:space="preserve">. </w:t>
      </w:r>
      <w:r>
        <w:rPr>
          <w:rFonts w:eastAsia="宋体" w:cs="Times" w:hint="eastAsia"/>
          <w:bCs/>
        </w:rPr>
        <w:t xml:space="preserve">In this contribution, we provide our analysis on </w:t>
      </w:r>
      <w:r w:rsidR="00E570DE">
        <w:rPr>
          <w:rFonts w:eastAsia="宋体" w:cs="Times"/>
          <w:bCs/>
        </w:rPr>
        <w:t>that</w:t>
      </w:r>
      <w:r>
        <w:rPr>
          <w:rFonts w:eastAsia="宋体" w:cs="Times" w:hint="eastAsia"/>
          <w:bCs/>
        </w:rPr>
        <w:t xml:space="preserve">. </w:t>
      </w:r>
    </w:p>
    <w:tbl>
      <w:tblPr>
        <w:tblStyle w:val="TableGrid"/>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855832">
        <w:tc>
          <w:tcPr>
            <w:tcW w:w="9465" w:type="dxa"/>
          </w:tcPr>
          <w:p w:rsidR="00033E63" w:rsidRPr="00543C4E" w:rsidRDefault="00033E63" w:rsidP="00033E63">
            <w:pPr>
              <w:snapToGrid w:val="0"/>
              <w:spacing w:after="120" w:line="240" w:lineRule="auto"/>
              <w:rPr>
                <w:b/>
                <w:bCs/>
                <w:lang w:eastAsia="x-none"/>
              </w:rPr>
            </w:pPr>
            <w:r w:rsidRPr="00543C4E">
              <w:rPr>
                <w:b/>
                <w:bCs/>
                <w:lang w:eastAsia="x-none"/>
              </w:rPr>
              <w:t>For future meetings:</w:t>
            </w:r>
          </w:p>
          <w:p w:rsidR="00033E63" w:rsidRDefault="00033E63" w:rsidP="00033E63">
            <w:pPr>
              <w:snapToGrid w:val="0"/>
              <w:spacing w:after="60" w:line="240" w:lineRule="auto"/>
              <w:rPr>
                <w:lang w:eastAsia="x-none"/>
              </w:rPr>
            </w:pPr>
            <w:r>
              <w:rPr>
                <w:lang w:eastAsia="x-none"/>
              </w:rPr>
              <w:t>Study the following two options for RAN1#116bis:</w:t>
            </w:r>
          </w:p>
          <w:p w:rsidR="00033E63" w:rsidRDefault="00033E63" w:rsidP="00033E63">
            <w:pPr>
              <w:numPr>
                <w:ilvl w:val="0"/>
                <w:numId w:val="13"/>
              </w:numPr>
              <w:snapToGrid w:val="0"/>
              <w:spacing w:after="60" w:line="240" w:lineRule="auto"/>
              <w:rPr>
                <w:rFonts w:eastAsia="宋体"/>
                <w:szCs w:val="20"/>
              </w:rPr>
            </w:pPr>
            <w:r>
              <w:rPr>
                <w:rFonts w:eastAsia="宋体" w:hint="eastAsia"/>
                <w:szCs w:val="20"/>
              </w:rPr>
              <w:t>Mo</w:t>
            </w:r>
            <w:r>
              <w:rPr>
                <w:rFonts w:eastAsia="宋体"/>
                <w:szCs w:val="20"/>
              </w:rPr>
              <w:t>dified Option2:</w:t>
            </w:r>
          </w:p>
          <w:p w:rsidR="00033E63" w:rsidRPr="00543C4E" w:rsidRDefault="00033E63" w:rsidP="00033E63">
            <w:pPr>
              <w:numPr>
                <w:ilvl w:val="1"/>
                <w:numId w:val="13"/>
              </w:numPr>
              <w:snapToGrid w:val="0"/>
              <w:spacing w:after="60" w:line="240" w:lineRule="auto"/>
              <w:rPr>
                <w:rFonts w:eastAsia="宋体"/>
                <w:szCs w:val="20"/>
              </w:rPr>
            </w:pPr>
            <w:r w:rsidRPr="00543C4E">
              <w:rPr>
                <w:rFonts w:eastAsia="Malgun Gothic"/>
                <w:szCs w:val="20"/>
                <w:lang w:eastAsia="ko-KR"/>
              </w:rPr>
              <w:t xml:space="preserve">equally split across </w:t>
            </w:r>
            <w:r w:rsidRPr="00033E63">
              <w:rPr>
                <w:rFonts w:eastAsia="Malgun Gothic"/>
                <w:szCs w:val="20"/>
                <w:lang w:eastAsia="ko-KR"/>
              </w:rPr>
              <w:t>all SRS ports in all the overlapping SRS resources in the same SRS resource set with usage ‘</w:t>
            </w:r>
            <w:proofErr w:type="spellStart"/>
            <w:r w:rsidRPr="00033E63">
              <w:rPr>
                <w:rFonts w:eastAsia="Malgun Gothic"/>
                <w:szCs w:val="20"/>
                <w:lang w:eastAsia="ko-KR"/>
              </w:rPr>
              <w:t>nonCodebook</w:t>
            </w:r>
            <w:proofErr w:type="spellEnd"/>
            <w:r w:rsidRPr="00033E63">
              <w:rPr>
                <w:rFonts w:eastAsia="Malgun Gothic"/>
                <w:szCs w:val="20"/>
                <w:lang w:eastAsia="ko-KR"/>
              </w:rPr>
              <w:t xml:space="preserve">’ when they </w:t>
            </w:r>
            <w:r w:rsidRPr="00543C4E">
              <w:rPr>
                <w:rFonts w:eastAsia="Malgun Gothic"/>
                <w:szCs w:val="20"/>
                <w:lang w:eastAsia="ko-KR"/>
              </w:rPr>
              <w:t>are fully overlapped in time</w:t>
            </w:r>
            <w:r w:rsidRPr="00543C4E">
              <w:rPr>
                <w:rFonts w:eastAsia="宋体"/>
                <w:szCs w:val="20"/>
              </w:rPr>
              <w:t>.</w:t>
            </w:r>
          </w:p>
          <w:p w:rsidR="00033E63" w:rsidRDefault="00033E63" w:rsidP="00033E63">
            <w:pPr>
              <w:numPr>
                <w:ilvl w:val="0"/>
                <w:numId w:val="13"/>
              </w:numPr>
              <w:snapToGrid w:val="0"/>
              <w:spacing w:after="60" w:line="240" w:lineRule="auto"/>
              <w:rPr>
                <w:rFonts w:eastAsia="宋体"/>
              </w:rPr>
            </w:pPr>
            <w:r>
              <w:rPr>
                <w:rFonts w:eastAsia="宋体"/>
              </w:rPr>
              <w:t>Option4: restrict it to ‘</w:t>
            </w:r>
            <w:proofErr w:type="spellStart"/>
            <w:r>
              <w:rPr>
                <w:rFonts w:eastAsia="宋体"/>
              </w:rPr>
              <w:t>nonCodebook</w:t>
            </w:r>
            <w:proofErr w:type="spellEnd"/>
            <w:r>
              <w:rPr>
                <w:rFonts w:eastAsia="宋体"/>
              </w:rPr>
              <w:t xml:space="preserve">’ and the case when UE transmit power exceeds </w:t>
            </w:r>
            <w:r w:rsidRPr="00033E63">
              <w:rPr>
                <w:i/>
                <w:iCs/>
                <w:noProof/>
                <w:position w:val="-10"/>
                <w:szCs w:val="20"/>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6.6pt" o:ole="">
                  <v:imagedata r:id="rId8" o:title=""/>
                </v:shape>
                <o:OLEObject Type="Embed" ProgID="Equation.DSMT4" ShapeID="_x0000_i1025" DrawAspect="Content" ObjectID="_1773667888" r:id="rId9"/>
              </w:object>
            </w:r>
            <w:r>
              <w:rPr>
                <w:i/>
                <w:iCs/>
                <w:szCs w:val="20"/>
              </w:rPr>
              <w:t xml:space="preserve"> </w:t>
            </w:r>
            <w:r w:rsidRPr="001E0129">
              <w:rPr>
                <w:rFonts w:eastAsia="宋体"/>
              </w:rPr>
              <w:t>as below</w:t>
            </w:r>
          </w:p>
          <w:p w:rsidR="00855832" w:rsidRPr="00033E63" w:rsidRDefault="00033E63" w:rsidP="00033E63">
            <w:pPr>
              <w:numPr>
                <w:ilvl w:val="1"/>
                <w:numId w:val="13"/>
              </w:numPr>
              <w:snapToGrid w:val="0"/>
              <w:spacing w:after="60" w:line="240" w:lineRule="auto"/>
              <w:rPr>
                <w:rFonts w:eastAsia="宋体"/>
              </w:rPr>
            </w:pPr>
            <w:r w:rsidRPr="00C941C9">
              <w:rPr>
                <w:szCs w:val="20"/>
              </w:rPr>
              <w:t xml:space="preserve">For simultaneous transmissions of SRS resources of a SRS resource set </w:t>
            </w:r>
            <w:r w:rsidRPr="00C941C9">
              <w:rPr>
                <w:color w:val="000000"/>
                <w:szCs w:val="20"/>
              </w:rPr>
              <w:t xml:space="preserve">with higher layer </w:t>
            </w:r>
            <w:r w:rsidRPr="00C941C9">
              <w:rPr>
                <w:szCs w:val="20"/>
              </w:rPr>
              <w:t>parameter usage in SRS-</w:t>
            </w:r>
            <w:proofErr w:type="spellStart"/>
            <w:r w:rsidRPr="00C941C9">
              <w:rPr>
                <w:szCs w:val="20"/>
              </w:rPr>
              <w:t>ResourceSet</w:t>
            </w:r>
            <w:proofErr w:type="spellEnd"/>
            <w:r w:rsidRPr="00C941C9">
              <w:rPr>
                <w:szCs w:val="20"/>
              </w:rPr>
              <w:t xml:space="preserve"> set to ‘</w:t>
            </w:r>
            <w:proofErr w:type="spellStart"/>
            <w:r w:rsidRPr="00C941C9">
              <w:rPr>
                <w:szCs w:val="20"/>
              </w:rPr>
              <w:t>nonCodebook</w:t>
            </w:r>
            <w:proofErr w:type="spellEnd"/>
            <w:r w:rsidRPr="00C941C9">
              <w:rPr>
                <w:szCs w:val="20"/>
              </w:rPr>
              <w:t xml:space="preserve">’, if the total UE transmit power for SRS transmission in a respective transmission occasion </w:t>
            </w:r>
            <w:r w:rsidRPr="00C941C9">
              <w:rPr>
                <w:noProof/>
                <w:szCs w:val="20"/>
              </w:rPr>
              <w:object w:dxaOrig="150" w:dyaOrig="240">
                <v:shape id="_x0000_i1026" type="#_x0000_t75" style="width:7.2pt;height:11.65pt" o:ole="">
                  <v:imagedata r:id="rId10" o:title=""/>
                </v:shape>
                <o:OLEObject Type="Embed" ProgID="Equation.3" ShapeID="_x0000_i1026" DrawAspect="Content" ObjectID="_1773667889" r:id="rId11"/>
              </w:object>
            </w:r>
            <w:r w:rsidRPr="00C941C9">
              <w:rPr>
                <w:szCs w:val="20"/>
              </w:rPr>
              <w:t xml:space="preserve"> would exceed </w:t>
            </w:r>
            <w:r w:rsidRPr="00033E63">
              <w:rPr>
                <w:noProof/>
                <w:position w:val="-10"/>
                <w:szCs w:val="20"/>
              </w:rPr>
              <w:object w:dxaOrig="740" w:dyaOrig="340">
                <v:shape id="_x0000_i1027" type="#_x0000_t75" style="width:37.1pt;height:16.6pt" o:ole="">
                  <v:imagedata r:id="rId12" o:title=""/>
                </v:shape>
                <o:OLEObject Type="Embed" ProgID="Equation.DSMT4" ShapeID="_x0000_i1027" DrawAspect="Content" ObjectID="_1773667890" r:id="rId13"/>
              </w:object>
            </w:r>
            <w:r w:rsidRPr="00C941C9">
              <w:rPr>
                <w:szCs w:val="20"/>
              </w:rPr>
              <w:t>, the UE should perform equal power scaling across the overlapping SRS resources.</w:t>
            </w:r>
          </w:p>
        </w:tc>
      </w:tr>
    </w:tbl>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Cs/>
          <w:szCs w:val="18"/>
        </w:rPr>
      </w:pPr>
      <w:r>
        <w:rPr>
          <w:rFonts w:eastAsia="宋体" w:hint="eastAsia"/>
          <w:b/>
          <w:sz w:val="28"/>
          <w:szCs w:val="28"/>
        </w:rPr>
        <w:t>Discussion</w:t>
      </w:r>
    </w:p>
    <w:p w:rsidR="00855832" w:rsidRDefault="00C06FD4">
      <w:pPr>
        <w:snapToGrid w:val="0"/>
        <w:spacing w:beforeLines="30" w:before="72" w:afterLines="30" w:after="72" w:line="288" w:lineRule="auto"/>
        <w:jc w:val="both"/>
        <w:rPr>
          <w:rFonts w:eastAsia="宋体"/>
          <w:bCs/>
          <w:szCs w:val="18"/>
        </w:rPr>
      </w:pPr>
      <w:r>
        <w:rPr>
          <w:rFonts w:eastAsia="宋体"/>
          <w:bCs/>
          <w:szCs w:val="18"/>
        </w:rPr>
        <w:t>Regarding this issue</w:t>
      </w:r>
      <w:r w:rsidR="00AC1B05">
        <w:rPr>
          <w:rFonts w:eastAsia="宋体"/>
          <w:bCs/>
          <w:szCs w:val="18"/>
        </w:rPr>
        <w:t xml:space="preserve"> </w:t>
      </w:r>
      <w:r w:rsidR="00AC1B05">
        <w:rPr>
          <w:rFonts w:eastAsia="宋体" w:cs="Times"/>
          <w:bCs/>
        </w:rPr>
        <w:t xml:space="preserve">on </w:t>
      </w:r>
      <w:r w:rsidR="002F323C">
        <w:rPr>
          <w:rFonts w:eastAsia="宋体" w:cs="Times"/>
          <w:bCs/>
        </w:rPr>
        <w:t>SRS power scaling</w:t>
      </w:r>
      <w:r>
        <w:rPr>
          <w:rFonts w:eastAsia="宋体"/>
          <w:bCs/>
          <w:szCs w:val="18"/>
        </w:rPr>
        <w:t>, we have the following analysis for clarifying the motivation and necessity:</w:t>
      </w:r>
      <w:r w:rsidR="00E63B08">
        <w:rPr>
          <w:rFonts w:eastAsia="宋体" w:hint="eastAsia"/>
          <w:bCs/>
          <w:szCs w:val="18"/>
        </w:rPr>
        <w:t xml:space="preserve"> </w:t>
      </w:r>
    </w:p>
    <w:p w:rsidR="00855832" w:rsidRDefault="0006706F">
      <w:pPr>
        <w:numPr>
          <w:ilvl w:val="0"/>
          <w:numId w:val="10"/>
        </w:numPr>
        <w:snapToGrid w:val="0"/>
        <w:spacing w:beforeLines="30" w:before="72" w:afterLines="30" w:after="72" w:line="288" w:lineRule="auto"/>
        <w:jc w:val="both"/>
        <w:rPr>
          <w:rFonts w:eastAsia="宋体"/>
        </w:rPr>
      </w:pPr>
      <w:r>
        <w:rPr>
          <w:rFonts w:eastAsia="宋体"/>
          <w:bCs/>
          <w:szCs w:val="18"/>
        </w:rPr>
        <w:t>Regarding modified Option 2, introducing general rule of equally splitting TX power into different SRS resources betrays the principle of SRS power control. In current spec, SRS Tx power is calculated per SRS resource (i.e., SRS transmission occasion)</w:t>
      </w:r>
      <w:r w:rsidR="00A061E0">
        <w:rPr>
          <w:rFonts w:eastAsia="宋体"/>
          <w:bCs/>
          <w:szCs w:val="18"/>
        </w:rPr>
        <w:t xml:space="preserve"> which is based on the power-spectrum density. That means that, in the P</w:t>
      </w:r>
      <w:r w:rsidR="00A061E0" w:rsidRPr="00A061E0">
        <w:rPr>
          <w:rFonts w:eastAsia="宋体"/>
          <w:bCs/>
          <w:szCs w:val="18"/>
          <w:vertAlign w:val="subscript"/>
        </w:rPr>
        <w:t>SRS</w:t>
      </w:r>
      <w:r w:rsidR="00A061E0">
        <w:rPr>
          <w:rFonts w:eastAsia="宋体"/>
        </w:rPr>
        <w:t xml:space="preserve"> formula</w:t>
      </w:r>
      <w:r w:rsidR="00EB3378">
        <w:rPr>
          <w:rFonts w:eastAsia="宋体"/>
        </w:rPr>
        <w:t xml:space="preserve"> in TS 38.213</w:t>
      </w:r>
      <w:r w:rsidR="00A061E0">
        <w:rPr>
          <w:rFonts w:eastAsia="宋体"/>
        </w:rPr>
        <w:t>, SRS bandwidth M</w:t>
      </w:r>
      <w:r w:rsidR="00A061E0" w:rsidRPr="00A061E0">
        <w:rPr>
          <w:rFonts w:eastAsia="宋体"/>
          <w:vertAlign w:val="subscript"/>
        </w:rPr>
        <w:t>SRS</w:t>
      </w:r>
      <w:r w:rsidR="00A061E0">
        <w:rPr>
          <w:rFonts w:eastAsia="宋体"/>
        </w:rPr>
        <w:t xml:space="preserve"> is determined according to the SRS allocated RE in a unit of RB</w:t>
      </w:r>
      <w:r w:rsidR="00E63B08">
        <w:rPr>
          <w:rFonts w:eastAsia="宋体" w:hint="eastAsia"/>
        </w:rPr>
        <w:t>.</w:t>
      </w:r>
      <w:r w:rsidR="00A061E0">
        <w:rPr>
          <w:rFonts w:eastAsia="宋体"/>
        </w:rPr>
        <w:t xml:space="preserve"> </w:t>
      </w:r>
      <w:r w:rsidR="00A061E0">
        <w:rPr>
          <w:rFonts w:eastAsia="宋体" w:hint="eastAsia"/>
        </w:rPr>
        <w:t>T</w:t>
      </w:r>
      <w:r w:rsidR="00A061E0">
        <w:rPr>
          <w:rFonts w:eastAsia="宋体"/>
        </w:rPr>
        <w:t>hen, if supporting modified option 2, we firstly need to re-interpret the definition of SRS bandwidth M</w:t>
      </w:r>
      <w:r w:rsidR="00A061E0" w:rsidRPr="00A061E0">
        <w:rPr>
          <w:rFonts w:eastAsia="宋体"/>
          <w:vertAlign w:val="subscript"/>
        </w:rPr>
        <w:t>SRS</w:t>
      </w:r>
      <w:r w:rsidR="00A061E0">
        <w:rPr>
          <w:rFonts w:eastAsia="宋体"/>
        </w:rPr>
        <w:t xml:space="preserve"> which is calculated across all SRS resources in a </w:t>
      </w:r>
      <w:proofErr w:type="gramStart"/>
      <w:r w:rsidR="00A061E0">
        <w:rPr>
          <w:rFonts w:eastAsia="宋体"/>
        </w:rPr>
        <w:t>set</w:t>
      </w:r>
      <w:r w:rsidR="006C3335">
        <w:rPr>
          <w:rFonts w:eastAsia="宋体"/>
        </w:rPr>
        <w:t xml:space="preserve"> </w:t>
      </w:r>
      <w:r w:rsidR="00A061E0">
        <w:rPr>
          <w:rFonts w:eastAsia="宋体"/>
        </w:rPr>
        <w:t>in</w:t>
      </w:r>
      <w:proofErr w:type="gramEnd"/>
      <w:r w:rsidR="00A061E0">
        <w:rPr>
          <w:rFonts w:eastAsia="宋体"/>
        </w:rPr>
        <w:t xml:space="preserve"> time. As in a Rel-15 maintenance, the above interpretation has the following NBC issue</w:t>
      </w:r>
      <w:r w:rsidR="006C3335">
        <w:rPr>
          <w:rFonts w:eastAsia="宋体"/>
        </w:rPr>
        <w:t xml:space="preserve"> in our views</w:t>
      </w:r>
      <w:r w:rsidR="00B74655">
        <w:rPr>
          <w:rFonts w:eastAsia="宋体"/>
        </w:rPr>
        <w:t xml:space="preserve"> which definitely should be avoided.</w:t>
      </w:r>
      <w:r w:rsidR="00A061E0">
        <w:rPr>
          <w:rFonts w:eastAsia="宋体"/>
        </w:rPr>
        <w:t xml:space="preserve"> </w:t>
      </w:r>
    </w:p>
    <w:p w:rsidR="00A061E0" w:rsidRDefault="00EB3378" w:rsidP="00A061E0">
      <w:pPr>
        <w:numPr>
          <w:ilvl w:val="1"/>
          <w:numId w:val="10"/>
        </w:numPr>
        <w:snapToGrid w:val="0"/>
        <w:spacing w:beforeLines="30" w:before="72" w:afterLines="30" w:after="72" w:line="288" w:lineRule="auto"/>
        <w:jc w:val="both"/>
        <w:rPr>
          <w:rFonts w:eastAsia="宋体"/>
        </w:rPr>
      </w:pPr>
      <w:r>
        <w:rPr>
          <w:rFonts w:eastAsia="宋体"/>
        </w:rPr>
        <w:t>For instance, i</w:t>
      </w:r>
      <w:r w:rsidR="00A061E0">
        <w:rPr>
          <w:rFonts w:eastAsia="宋体"/>
        </w:rPr>
        <w:t xml:space="preserve">f there are two SRS resources for NCB, and when their SRS ports is allocated into a same REs (i.e., a same comb-offset but different cyclic shift), the </w:t>
      </w:r>
      <w:r w:rsidR="006C3335">
        <w:rPr>
          <w:rFonts w:eastAsia="宋体"/>
        </w:rPr>
        <w:t>total</w:t>
      </w:r>
      <w:r w:rsidR="00A061E0">
        <w:rPr>
          <w:rFonts w:eastAsia="宋体"/>
        </w:rPr>
        <w:t xml:space="preserve"> Tx power </w:t>
      </w:r>
      <w:r w:rsidR="006C3335">
        <w:rPr>
          <w:rFonts w:eastAsia="宋体"/>
        </w:rPr>
        <w:t>across the two</w:t>
      </w:r>
      <w:r w:rsidR="00A061E0">
        <w:rPr>
          <w:rFonts w:eastAsia="宋体"/>
        </w:rPr>
        <w:t xml:space="preserve"> SRS resources is 2*</w:t>
      </w:r>
      <w:proofErr w:type="spellStart"/>
      <w:r w:rsidR="00A061E0">
        <w:rPr>
          <w:rFonts w:eastAsia="宋体"/>
        </w:rPr>
        <w:t>P</w:t>
      </w:r>
      <w:r w:rsidR="00A061E0" w:rsidRPr="00A061E0">
        <w:rPr>
          <w:rFonts w:eastAsia="宋体"/>
          <w:vertAlign w:val="subscript"/>
        </w:rPr>
        <w:t>SRS</w:t>
      </w:r>
      <w:r w:rsidR="00A061E0">
        <w:rPr>
          <w:rFonts w:eastAsia="宋体"/>
          <w:vertAlign w:val="subscript"/>
        </w:rPr>
        <w:t>_resource</w:t>
      </w:r>
      <w:proofErr w:type="spellEnd"/>
      <w:r w:rsidR="00A061E0">
        <w:rPr>
          <w:rFonts w:eastAsia="宋体"/>
        </w:rPr>
        <w:t xml:space="preserve"> </w:t>
      </w:r>
      <w:r>
        <w:rPr>
          <w:rFonts w:eastAsia="宋体"/>
        </w:rPr>
        <w:t xml:space="preserve">due to individual calculation for SRS Tx power per resource </w:t>
      </w:r>
      <w:r w:rsidR="006C3335">
        <w:rPr>
          <w:rFonts w:eastAsia="宋体"/>
        </w:rPr>
        <w:t xml:space="preserve">in legacy, </w:t>
      </w:r>
      <w:r w:rsidR="00A061E0">
        <w:rPr>
          <w:rFonts w:eastAsia="宋体"/>
        </w:rPr>
        <w:t xml:space="preserve">where </w:t>
      </w:r>
      <w:proofErr w:type="spellStart"/>
      <w:r w:rsidR="00A061E0">
        <w:rPr>
          <w:rFonts w:eastAsia="宋体"/>
        </w:rPr>
        <w:t>P</w:t>
      </w:r>
      <w:r w:rsidR="00A061E0" w:rsidRPr="00A061E0">
        <w:rPr>
          <w:rFonts w:eastAsia="宋体"/>
          <w:vertAlign w:val="subscript"/>
        </w:rPr>
        <w:t>SRS</w:t>
      </w:r>
      <w:r w:rsidR="00A061E0">
        <w:rPr>
          <w:rFonts w:eastAsia="宋体"/>
          <w:vertAlign w:val="subscript"/>
        </w:rPr>
        <w:t>_resource</w:t>
      </w:r>
      <w:proofErr w:type="spellEnd"/>
      <w:r w:rsidR="00A061E0">
        <w:rPr>
          <w:rFonts w:eastAsia="宋体"/>
        </w:rPr>
        <w:t xml:space="preserve"> denotes a Tx power </w:t>
      </w:r>
      <w:bookmarkStart w:id="0" w:name="_GoBack"/>
      <w:r w:rsidR="00A061E0">
        <w:rPr>
          <w:rFonts w:eastAsia="宋体"/>
        </w:rPr>
        <w:t xml:space="preserve">for </w:t>
      </w:r>
      <w:proofErr w:type="gramStart"/>
      <w:r w:rsidR="00A061E0">
        <w:rPr>
          <w:rFonts w:eastAsia="宋体"/>
        </w:rPr>
        <w:t>a</w:t>
      </w:r>
      <w:proofErr w:type="gramEnd"/>
      <w:r w:rsidR="00A061E0">
        <w:rPr>
          <w:rFonts w:eastAsia="宋体"/>
        </w:rPr>
        <w:t xml:space="preserve"> </w:t>
      </w:r>
      <w:bookmarkEnd w:id="0"/>
      <w:r w:rsidR="00A061E0">
        <w:rPr>
          <w:rFonts w:eastAsia="宋体"/>
        </w:rPr>
        <w:t xml:space="preserve">SRS resource without any simultaneous transmission. But, if going with the modified Option-2, the </w:t>
      </w:r>
      <w:r w:rsidR="006C3335">
        <w:rPr>
          <w:rFonts w:eastAsia="宋体"/>
        </w:rPr>
        <w:t xml:space="preserve">Tx power for the whole SRS resources is still </w:t>
      </w:r>
      <w:proofErr w:type="spellStart"/>
      <w:r w:rsidR="006C3335">
        <w:rPr>
          <w:rFonts w:eastAsia="宋体"/>
        </w:rPr>
        <w:t>P</w:t>
      </w:r>
      <w:r w:rsidR="006C3335" w:rsidRPr="00A061E0">
        <w:rPr>
          <w:rFonts w:eastAsia="宋体"/>
          <w:vertAlign w:val="subscript"/>
        </w:rPr>
        <w:t>SRS</w:t>
      </w:r>
      <w:r w:rsidR="006C3335">
        <w:rPr>
          <w:rFonts w:eastAsia="宋体"/>
          <w:vertAlign w:val="subscript"/>
        </w:rPr>
        <w:t>_resource</w:t>
      </w:r>
      <w:proofErr w:type="spellEnd"/>
      <w:r w:rsidR="006C3335">
        <w:rPr>
          <w:rFonts w:eastAsia="宋体"/>
        </w:rPr>
        <w:t>.</w:t>
      </w:r>
    </w:p>
    <w:p w:rsidR="006C3335" w:rsidRDefault="006C3335" w:rsidP="000976C2">
      <w:pPr>
        <w:pStyle w:val="18"/>
        <w:numPr>
          <w:ilvl w:val="0"/>
          <w:numId w:val="10"/>
        </w:numPr>
        <w:jc w:val="both"/>
        <w:rPr>
          <w:rFonts w:eastAsia="宋体"/>
          <w:szCs w:val="20"/>
        </w:rPr>
      </w:pPr>
      <w:r>
        <w:rPr>
          <w:rFonts w:eastAsia="宋体"/>
          <w:szCs w:val="20"/>
        </w:rPr>
        <w:t xml:space="preserve">Regarding Option 4, in principle, this option is much aligned with legacy UL power control mechanism. While total Tx power extends the upper bound, we may consider to introduce a rule, e.g., equally splitting across the overlapping SRS resources. But, considering that, we can assume that this option is introduce additional feature compared with legacy (up to UE implementation). </w:t>
      </w:r>
    </w:p>
    <w:p w:rsidR="006C3335" w:rsidRDefault="006C3335">
      <w:pPr>
        <w:snapToGrid w:val="0"/>
        <w:spacing w:beforeLines="30" w:before="72" w:afterLines="30" w:after="72" w:line="288" w:lineRule="auto"/>
        <w:jc w:val="both"/>
        <w:rPr>
          <w:rFonts w:eastAsia="宋体"/>
          <w:iCs/>
        </w:rPr>
      </w:pPr>
      <w:r>
        <w:rPr>
          <w:rFonts w:eastAsia="宋体"/>
          <w:iCs/>
        </w:rPr>
        <w:lastRenderedPageBreak/>
        <w:t>In short, we are open to further discussion the spec update for Option-4 (e.g., in the section 7.5 in TS 38.213</w:t>
      </w:r>
      <w:r w:rsidR="00B74655">
        <w:rPr>
          <w:rFonts w:eastAsia="宋体"/>
          <w:iCs/>
        </w:rPr>
        <w:t>, equally power scaling for SRS resources while above condition is satisfied can be specified</w:t>
      </w:r>
      <w:r>
        <w:rPr>
          <w:rFonts w:eastAsia="宋体"/>
          <w:iCs/>
        </w:rPr>
        <w:t xml:space="preserve">), but can NOT live with the modified option-2. </w:t>
      </w:r>
    </w:p>
    <w:p w:rsidR="006C3335" w:rsidRDefault="006C3335" w:rsidP="006C3335">
      <w:pPr>
        <w:snapToGrid w:val="0"/>
        <w:spacing w:beforeLines="30" w:before="72" w:afterLines="30" w:after="72" w:line="288" w:lineRule="auto"/>
        <w:jc w:val="both"/>
        <w:rPr>
          <w:i/>
        </w:rPr>
      </w:pPr>
      <w:r>
        <w:rPr>
          <w:rFonts w:eastAsia="宋体" w:hint="eastAsia"/>
          <w:b/>
          <w:i/>
        </w:rPr>
        <w:t>Proposal 1</w:t>
      </w:r>
      <w:r>
        <w:rPr>
          <w:rFonts w:hint="eastAsia"/>
          <w:b/>
          <w:i/>
        </w:rPr>
        <w:t xml:space="preserve">: </w:t>
      </w:r>
      <w:r w:rsidRPr="006C3335">
        <w:rPr>
          <w:i/>
        </w:rPr>
        <w:t>R</w:t>
      </w:r>
      <w:r>
        <w:rPr>
          <w:i/>
        </w:rPr>
        <w:t>egarding SRS power scaling in NCB, the following option can be considered as a starting point.</w:t>
      </w:r>
    </w:p>
    <w:p w:rsidR="006C3335" w:rsidRPr="006C3335" w:rsidRDefault="006C3335" w:rsidP="006C3335">
      <w:pPr>
        <w:numPr>
          <w:ilvl w:val="0"/>
          <w:numId w:val="13"/>
        </w:numPr>
        <w:snapToGrid w:val="0"/>
        <w:spacing w:after="60" w:line="240" w:lineRule="auto"/>
        <w:rPr>
          <w:rFonts w:eastAsia="宋体"/>
          <w:i/>
        </w:rPr>
      </w:pPr>
      <w:r w:rsidRPr="006C3335">
        <w:rPr>
          <w:rFonts w:eastAsia="宋体"/>
          <w:i/>
        </w:rPr>
        <w:t>Option4: restrict it to ‘</w:t>
      </w:r>
      <w:proofErr w:type="spellStart"/>
      <w:r w:rsidRPr="006C3335">
        <w:rPr>
          <w:rFonts w:eastAsia="宋体"/>
          <w:i/>
        </w:rPr>
        <w:t>nonCodebook</w:t>
      </w:r>
      <w:proofErr w:type="spellEnd"/>
      <w:r w:rsidRPr="006C3335">
        <w:rPr>
          <w:rFonts w:eastAsia="宋体"/>
          <w:i/>
        </w:rPr>
        <w:t xml:space="preserve">’ and the case when UE transmit power exceeds </w:t>
      </w:r>
      <w:r w:rsidR="00422256" w:rsidRPr="006C3335">
        <w:rPr>
          <w:i/>
          <w:iCs/>
          <w:noProof/>
          <w:position w:val="-10"/>
          <w:szCs w:val="20"/>
        </w:rPr>
        <w:object w:dxaOrig="740" w:dyaOrig="340">
          <v:shape id="_x0000_i1028" type="#_x0000_t75" style="width:37.1pt;height:16.6pt" o:ole="">
            <v:imagedata r:id="rId8" o:title=""/>
          </v:shape>
          <o:OLEObject Type="Embed" ProgID="Equation.DSMT4" ShapeID="_x0000_i1028" DrawAspect="Content" ObjectID="_1773667891" r:id="rId14"/>
        </w:object>
      </w:r>
      <w:r w:rsidRPr="006C3335">
        <w:rPr>
          <w:i/>
          <w:iCs/>
          <w:szCs w:val="20"/>
        </w:rPr>
        <w:t xml:space="preserve"> </w:t>
      </w:r>
      <w:r w:rsidRPr="006C3335">
        <w:rPr>
          <w:rFonts w:eastAsia="宋体"/>
          <w:i/>
        </w:rPr>
        <w:t>as below</w:t>
      </w:r>
    </w:p>
    <w:p w:rsidR="006C3335" w:rsidRPr="006C3335" w:rsidRDefault="006C3335" w:rsidP="006C3335">
      <w:pPr>
        <w:numPr>
          <w:ilvl w:val="1"/>
          <w:numId w:val="13"/>
        </w:numPr>
        <w:snapToGrid w:val="0"/>
        <w:spacing w:after="60" w:line="240" w:lineRule="auto"/>
        <w:rPr>
          <w:rFonts w:eastAsia="宋体"/>
          <w:i/>
        </w:rPr>
      </w:pPr>
      <w:r w:rsidRPr="006C3335">
        <w:rPr>
          <w:rFonts w:eastAsia="宋体"/>
          <w:i/>
        </w:rPr>
        <w:t>For simultaneous transmissions of SRS resources of a SRS resource set with higher layer parameter usage in SRS-</w:t>
      </w:r>
      <w:proofErr w:type="spellStart"/>
      <w:r w:rsidRPr="006C3335">
        <w:rPr>
          <w:rFonts w:eastAsia="宋体"/>
          <w:i/>
        </w:rPr>
        <w:t>ResourceSet</w:t>
      </w:r>
      <w:proofErr w:type="spellEnd"/>
      <w:r w:rsidRPr="006C3335">
        <w:rPr>
          <w:rFonts w:eastAsia="宋体"/>
          <w:i/>
        </w:rPr>
        <w:t xml:space="preserve"> set to ‘</w:t>
      </w:r>
      <w:proofErr w:type="spellStart"/>
      <w:r w:rsidRPr="006C3335">
        <w:rPr>
          <w:rFonts w:eastAsia="宋体"/>
          <w:i/>
        </w:rPr>
        <w:t>nonCodebook</w:t>
      </w:r>
      <w:proofErr w:type="spellEnd"/>
      <w:r w:rsidRPr="006C3335">
        <w:rPr>
          <w:rFonts w:eastAsia="宋体"/>
          <w:i/>
        </w:rPr>
        <w:t xml:space="preserve">’, if the total UE transmit power for SRS transmission in a respective transmission occasion </w:t>
      </w:r>
      <w:r w:rsidR="00422256" w:rsidRPr="00422256">
        <w:rPr>
          <w:rFonts w:eastAsia="宋体"/>
          <w:i/>
          <w:position w:val="-6"/>
        </w:rPr>
        <w:object w:dxaOrig="139" w:dyaOrig="240">
          <v:shape id="_x0000_i1029" type="#_x0000_t75" style="width:6.65pt;height:11.65pt" o:ole="">
            <v:imagedata r:id="rId15" o:title=""/>
          </v:shape>
          <o:OLEObject Type="Embed" ProgID="Equation.DSMT4" ShapeID="_x0000_i1029" DrawAspect="Content" ObjectID="_1773667892" r:id="rId16"/>
        </w:object>
      </w:r>
      <w:r w:rsidRPr="006C3335">
        <w:rPr>
          <w:rFonts w:eastAsia="宋体"/>
          <w:i/>
        </w:rPr>
        <w:t xml:space="preserve"> would exceed </w:t>
      </w:r>
      <w:r w:rsidR="00422256" w:rsidRPr="006C3335">
        <w:rPr>
          <w:i/>
          <w:iCs/>
          <w:noProof/>
          <w:position w:val="-10"/>
          <w:szCs w:val="20"/>
        </w:rPr>
        <w:object w:dxaOrig="740" w:dyaOrig="340">
          <v:shape id="_x0000_i1030" type="#_x0000_t75" style="width:37.1pt;height:16.6pt" o:ole="">
            <v:imagedata r:id="rId8" o:title=""/>
          </v:shape>
          <o:OLEObject Type="Embed" ProgID="Equation.DSMT4" ShapeID="_x0000_i1030" DrawAspect="Content" ObjectID="_1773667893" r:id="rId17"/>
        </w:object>
      </w:r>
      <w:r w:rsidRPr="006C3335">
        <w:rPr>
          <w:rFonts w:eastAsia="宋体"/>
          <w:i/>
        </w:rPr>
        <w:t>, the UE should perform equal power scaling across the overlapping SRS resources.</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855832" w:rsidRDefault="00E63B08" w:rsidP="00C06FD4">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views on </w:t>
      </w:r>
      <w:r w:rsidR="00E5225C">
        <w:rPr>
          <w:rFonts w:eastAsia="宋体"/>
        </w:rPr>
        <w:t>SRS power scaling</w:t>
      </w:r>
      <w:r>
        <w:rPr>
          <w:rFonts w:hint="eastAsia"/>
        </w:rPr>
        <w:t xml:space="preserve">. </w:t>
      </w:r>
      <w:r w:rsidR="00E5225C">
        <w:t>The p</w:t>
      </w:r>
      <w:r>
        <w:rPr>
          <w:rFonts w:hint="eastAsia"/>
        </w:rPr>
        <w:t>roposal</w:t>
      </w:r>
      <w:r w:rsidR="00E5225C">
        <w:t xml:space="preserve"> is</w:t>
      </w:r>
      <w:r>
        <w:rPr>
          <w:rFonts w:hint="eastAsia"/>
        </w:rPr>
        <w:t xml:space="preserve"> listed as follows.</w:t>
      </w:r>
    </w:p>
    <w:p w:rsidR="00E5225C" w:rsidRDefault="00E5225C" w:rsidP="00E5225C">
      <w:pPr>
        <w:snapToGrid w:val="0"/>
        <w:spacing w:beforeLines="30" w:before="72" w:afterLines="30" w:after="72" w:line="288" w:lineRule="auto"/>
        <w:jc w:val="both"/>
        <w:rPr>
          <w:i/>
        </w:rPr>
      </w:pPr>
      <w:r>
        <w:rPr>
          <w:rFonts w:eastAsia="宋体" w:hint="eastAsia"/>
          <w:b/>
          <w:i/>
        </w:rPr>
        <w:t>Proposal 1</w:t>
      </w:r>
      <w:r>
        <w:rPr>
          <w:rFonts w:hint="eastAsia"/>
          <w:b/>
          <w:i/>
        </w:rPr>
        <w:t xml:space="preserve">: </w:t>
      </w:r>
      <w:r w:rsidRPr="006C3335">
        <w:rPr>
          <w:i/>
        </w:rPr>
        <w:t>R</w:t>
      </w:r>
      <w:r>
        <w:rPr>
          <w:i/>
        </w:rPr>
        <w:t>egarding SRS power scaling in NCB, the following option can be considered as a starting point.</w:t>
      </w:r>
    </w:p>
    <w:p w:rsidR="00E5225C" w:rsidRPr="006C3335" w:rsidRDefault="00E5225C" w:rsidP="00E5225C">
      <w:pPr>
        <w:numPr>
          <w:ilvl w:val="0"/>
          <w:numId w:val="13"/>
        </w:numPr>
        <w:snapToGrid w:val="0"/>
        <w:spacing w:after="60" w:line="240" w:lineRule="auto"/>
        <w:rPr>
          <w:rFonts w:eastAsia="宋体"/>
          <w:i/>
        </w:rPr>
      </w:pPr>
      <w:r w:rsidRPr="006C3335">
        <w:rPr>
          <w:rFonts w:eastAsia="宋体"/>
          <w:i/>
        </w:rPr>
        <w:t>Option4: restrict it to ‘</w:t>
      </w:r>
      <w:proofErr w:type="spellStart"/>
      <w:r w:rsidRPr="006C3335">
        <w:rPr>
          <w:rFonts w:eastAsia="宋体"/>
          <w:i/>
        </w:rPr>
        <w:t>nonCodebook</w:t>
      </w:r>
      <w:proofErr w:type="spellEnd"/>
      <w:r w:rsidRPr="006C3335">
        <w:rPr>
          <w:rFonts w:eastAsia="宋体"/>
          <w:i/>
        </w:rPr>
        <w:t xml:space="preserve">’ and the case when UE transmit power exceeds </w:t>
      </w:r>
      <w:r w:rsidRPr="006C3335">
        <w:rPr>
          <w:i/>
          <w:iCs/>
          <w:noProof/>
          <w:position w:val="-10"/>
          <w:szCs w:val="20"/>
        </w:rPr>
        <w:object w:dxaOrig="740" w:dyaOrig="340">
          <v:shape id="_x0000_i1031" type="#_x0000_t75" style="width:37.1pt;height:16.6pt" o:ole="">
            <v:imagedata r:id="rId8" o:title=""/>
          </v:shape>
          <o:OLEObject Type="Embed" ProgID="Equation.DSMT4" ShapeID="_x0000_i1031" DrawAspect="Content" ObjectID="_1773667894" r:id="rId18"/>
        </w:object>
      </w:r>
      <w:r w:rsidRPr="006C3335">
        <w:rPr>
          <w:i/>
          <w:iCs/>
          <w:szCs w:val="20"/>
        </w:rPr>
        <w:t xml:space="preserve"> </w:t>
      </w:r>
      <w:r w:rsidRPr="006C3335">
        <w:rPr>
          <w:rFonts w:eastAsia="宋体"/>
          <w:i/>
        </w:rPr>
        <w:t>as below</w:t>
      </w:r>
    </w:p>
    <w:p w:rsidR="00E5225C" w:rsidRPr="006C3335" w:rsidRDefault="00E5225C" w:rsidP="00E5225C">
      <w:pPr>
        <w:numPr>
          <w:ilvl w:val="1"/>
          <w:numId w:val="13"/>
        </w:numPr>
        <w:snapToGrid w:val="0"/>
        <w:spacing w:after="60" w:line="240" w:lineRule="auto"/>
        <w:rPr>
          <w:rFonts w:eastAsia="宋体"/>
          <w:i/>
        </w:rPr>
      </w:pPr>
      <w:r w:rsidRPr="006C3335">
        <w:rPr>
          <w:rFonts w:eastAsia="宋体"/>
          <w:i/>
        </w:rPr>
        <w:t>For simultaneous transmissions of SRS resources of a SRS resource set with higher layer parameter usage in SRS-</w:t>
      </w:r>
      <w:proofErr w:type="spellStart"/>
      <w:r w:rsidRPr="006C3335">
        <w:rPr>
          <w:rFonts w:eastAsia="宋体"/>
          <w:i/>
        </w:rPr>
        <w:t>ResourceSet</w:t>
      </w:r>
      <w:proofErr w:type="spellEnd"/>
      <w:r w:rsidRPr="006C3335">
        <w:rPr>
          <w:rFonts w:eastAsia="宋体"/>
          <w:i/>
        </w:rPr>
        <w:t xml:space="preserve"> set to ‘</w:t>
      </w:r>
      <w:proofErr w:type="spellStart"/>
      <w:r w:rsidRPr="006C3335">
        <w:rPr>
          <w:rFonts w:eastAsia="宋体"/>
          <w:i/>
        </w:rPr>
        <w:t>nonCodebook</w:t>
      </w:r>
      <w:proofErr w:type="spellEnd"/>
      <w:r w:rsidRPr="006C3335">
        <w:rPr>
          <w:rFonts w:eastAsia="宋体"/>
          <w:i/>
        </w:rPr>
        <w:t xml:space="preserve">’, if the total UE transmit power for SRS transmission in a respective transmission occasion </w:t>
      </w:r>
      <w:r w:rsidRPr="00422256">
        <w:rPr>
          <w:rFonts w:eastAsia="宋体"/>
          <w:i/>
          <w:position w:val="-6"/>
        </w:rPr>
        <w:object w:dxaOrig="139" w:dyaOrig="240">
          <v:shape id="_x0000_i1032" type="#_x0000_t75" style="width:6.65pt;height:11.65pt" o:ole="">
            <v:imagedata r:id="rId15" o:title=""/>
          </v:shape>
          <o:OLEObject Type="Embed" ProgID="Equation.DSMT4" ShapeID="_x0000_i1032" DrawAspect="Content" ObjectID="_1773667895" r:id="rId19"/>
        </w:object>
      </w:r>
      <w:r w:rsidRPr="006C3335">
        <w:rPr>
          <w:rFonts w:eastAsia="宋体"/>
          <w:i/>
        </w:rPr>
        <w:t xml:space="preserve"> would exceed </w:t>
      </w:r>
      <w:r w:rsidRPr="006C3335">
        <w:rPr>
          <w:i/>
          <w:iCs/>
          <w:noProof/>
          <w:position w:val="-10"/>
          <w:szCs w:val="20"/>
        </w:rPr>
        <w:object w:dxaOrig="740" w:dyaOrig="340">
          <v:shape id="_x0000_i1033" type="#_x0000_t75" style="width:37.1pt;height:16.6pt" o:ole="">
            <v:imagedata r:id="rId8" o:title=""/>
          </v:shape>
          <o:OLEObject Type="Embed" ProgID="Equation.DSMT4" ShapeID="_x0000_i1033" DrawAspect="Content" ObjectID="_1773667896" r:id="rId20"/>
        </w:object>
      </w:r>
      <w:r w:rsidRPr="006C3335">
        <w:rPr>
          <w:rFonts w:eastAsia="宋体"/>
          <w:i/>
        </w:rPr>
        <w:t>, the UE should perform equal power scaling across the overlapping SRS resources.</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855832" w:rsidRDefault="00C06FD4">
      <w:pPr>
        <w:pStyle w:val="References"/>
        <w:spacing w:after="0"/>
        <w:ind w:left="363" w:hanging="363"/>
        <w:rPr>
          <w:rFonts w:eastAsia="宋体"/>
          <w:szCs w:val="20"/>
        </w:rPr>
      </w:pPr>
      <w:r>
        <w:rPr>
          <w:rFonts w:eastAsia="宋体"/>
          <w:szCs w:val="20"/>
        </w:rPr>
        <w:t>Chairman note RAN1#11</w:t>
      </w:r>
      <w:r w:rsidR="00E5225C">
        <w:rPr>
          <w:rFonts w:eastAsia="宋体"/>
          <w:szCs w:val="20"/>
        </w:rPr>
        <w:t>6</w:t>
      </w:r>
      <w:r>
        <w:rPr>
          <w:rFonts w:eastAsia="宋体"/>
          <w:szCs w:val="20"/>
        </w:rPr>
        <w:t xml:space="preserve">, RAN1 Chair (Samsung) </w:t>
      </w:r>
    </w:p>
    <w:p w:rsidR="00855832" w:rsidRDefault="00855832">
      <w:pPr>
        <w:pStyle w:val="NoSpacing1"/>
        <w:numPr>
          <w:ilvl w:val="255"/>
          <w:numId w:val="0"/>
        </w:numPr>
        <w:snapToGrid w:val="0"/>
        <w:rPr>
          <w:bCs/>
          <w:sz w:val="20"/>
          <w:szCs w:val="20"/>
        </w:rPr>
      </w:pPr>
    </w:p>
    <w:sectPr w:rsidR="008558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16FB" w:rsidRDefault="000F16FB">
      <w:pPr>
        <w:spacing w:line="240" w:lineRule="auto"/>
      </w:pPr>
      <w:r>
        <w:separator/>
      </w:r>
    </w:p>
  </w:endnote>
  <w:endnote w:type="continuationSeparator" w:id="0">
    <w:p w:rsidR="000F16FB" w:rsidRDefault="000F16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16FB" w:rsidRDefault="000F16FB">
      <w:pPr>
        <w:spacing w:after="0"/>
      </w:pPr>
      <w:r>
        <w:separator/>
      </w:r>
    </w:p>
  </w:footnote>
  <w:footnote w:type="continuationSeparator" w:id="0">
    <w:p w:rsidR="000F16FB" w:rsidRDefault="000F16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64C1C81"/>
    <w:multiLevelType w:val="hybridMultilevel"/>
    <w:tmpl w:val="4FD4F290"/>
    <w:lvl w:ilvl="0" w:tplc="5AC4A18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2"/>
  </w:num>
  <w:num w:numId="4">
    <w:abstractNumId w:val="3"/>
  </w:num>
  <w:num w:numId="5">
    <w:abstractNumId w:val="11"/>
  </w:num>
  <w:num w:numId="6">
    <w:abstractNumId w:val="9"/>
  </w:num>
  <w:num w:numId="7">
    <w:abstractNumId w:val="4"/>
  </w:num>
  <w:num w:numId="8">
    <w:abstractNumId w:val="7"/>
  </w:num>
  <w:num w:numId="9">
    <w:abstractNumId w:val="5"/>
  </w:num>
  <w:num w:numId="10">
    <w:abstractNumId w:val="1"/>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92D"/>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3E63"/>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6F"/>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123"/>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C2"/>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6FB"/>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33"/>
    <w:rsid w:val="00146BFA"/>
    <w:rsid w:val="00146F05"/>
    <w:rsid w:val="00146F84"/>
    <w:rsid w:val="00147219"/>
    <w:rsid w:val="00147542"/>
    <w:rsid w:val="0014797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030"/>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6F1C"/>
    <w:rsid w:val="00187878"/>
    <w:rsid w:val="001879E9"/>
    <w:rsid w:val="00187AA1"/>
    <w:rsid w:val="00187B3C"/>
    <w:rsid w:val="001900EF"/>
    <w:rsid w:val="001901A5"/>
    <w:rsid w:val="001901E9"/>
    <w:rsid w:val="0019039E"/>
    <w:rsid w:val="0019053A"/>
    <w:rsid w:val="00190F92"/>
    <w:rsid w:val="0019148C"/>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38DB"/>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48D"/>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23C"/>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311"/>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60B"/>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4A9"/>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5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779"/>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23"/>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4CA"/>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335"/>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5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48B"/>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00"/>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79"/>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832"/>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BAC"/>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E8C"/>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4B97"/>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1E0"/>
    <w:rsid w:val="00A06442"/>
    <w:rsid w:val="00A06841"/>
    <w:rsid w:val="00A06880"/>
    <w:rsid w:val="00A0723E"/>
    <w:rsid w:val="00A077B1"/>
    <w:rsid w:val="00A07BDF"/>
    <w:rsid w:val="00A07CBE"/>
    <w:rsid w:val="00A104B6"/>
    <w:rsid w:val="00A10655"/>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A55"/>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3D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CA4"/>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71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B05"/>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55"/>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6FD4"/>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95"/>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0C78"/>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3A8"/>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56F"/>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5DEB"/>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25C"/>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0DE"/>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08"/>
    <w:rsid w:val="00E63B11"/>
    <w:rsid w:val="00E63D5A"/>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378"/>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2FC1677"/>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07C23"/>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6FF4C8A"/>
    <w:rsid w:val="070A5CB1"/>
    <w:rsid w:val="070D6000"/>
    <w:rsid w:val="073D3D0E"/>
    <w:rsid w:val="07470651"/>
    <w:rsid w:val="074F79E7"/>
    <w:rsid w:val="075815C4"/>
    <w:rsid w:val="076A0810"/>
    <w:rsid w:val="07716096"/>
    <w:rsid w:val="0780126B"/>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9601C"/>
    <w:rsid w:val="07FD44E9"/>
    <w:rsid w:val="0805407D"/>
    <w:rsid w:val="08127126"/>
    <w:rsid w:val="08132E8B"/>
    <w:rsid w:val="081C2739"/>
    <w:rsid w:val="081D706E"/>
    <w:rsid w:val="081E70A6"/>
    <w:rsid w:val="085A6A73"/>
    <w:rsid w:val="085C0A8C"/>
    <w:rsid w:val="085D519A"/>
    <w:rsid w:val="086230FE"/>
    <w:rsid w:val="086378F2"/>
    <w:rsid w:val="086D1BC3"/>
    <w:rsid w:val="086D2264"/>
    <w:rsid w:val="08706B4B"/>
    <w:rsid w:val="08715CEC"/>
    <w:rsid w:val="087C2164"/>
    <w:rsid w:val="088B79C8"/>
    <w:rsid w:val="08CE61CB"/>
    <w:rsid w:val="08D04983"/>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5F279F"/>
    <w:rsid w:val="0A6F50FD"/>
    <w:rsid w:val="0A934843"/>
    <w:rsid w:val="0A980D85"/>
    <w:rsid w:val="0A9E4A8D"/>
    <w:rsid w:val="0A9F2012"/>
    <w:rsid w:val="0AAA6D9C"/>
    <w:rsid w:val="0AB15DD5"/>
    <w:rsid w:val="0AB53627"/>
    <w:rsid w:val="0AB6376C"/>
    <w:rsid w:val="0AB63BE7"/>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80370"/>
    <w:rsid w:val="0BDB1E35"/>
    <w:rsid w:val="0BDB6546"/>
    <w:rsid w:val="0BDD031D"/>
    <w:rsid w:val="0BDF6946"/>
    <w:rsid w:val="0BE0571E"/>
    <w:rsid w:val="0BE15659"/>
    <w:rsid w:val="0BE32529"/>
    <w:rsid w:val="0C005070"/>
    <w:rsid w:val="0C0A75FC"/>
    <w:rsid w:val="0C195365"/>
    <w:rsid w:val="0C1A6BD3"/>
    <w:rsid w:val="0C1D70C9"/>
    <w:rsid w:val="0C3314C7"/>
    <w:rsid w:val="0C6F4E58"/>
    <w:rsid w:val="0C724AF9"/>
    <w:rsid w:val="0C76751C"/>
    <w:rsid w:val="0CF956B1"/>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DE45FC"/>
    <w:rsid w:val="0DED441A"/>
    <w:rsid w:val="0DF13B47"/>
    <w:rsid w:val="0DF6009D"/>
    <w:rsid w:val="0DFF3A62"/>
    <w:rsid w:val="0E090B69"/>
    <w:rsid w:val="0E0A5187"/>
    <w:rsid w:val="0E2D6B35"/>
    <w:rsid w:val="0E2F4311"/>
    <w:rsid w:val="0E332166"/>
    <w:rsid w:val="0E3917FF"/>
    <w:rsid w:val="0E3D4D05"/>
    <w:rsid w:val="0E3D5131"/>
    <w:rsid w:val="0E422A2D"/>
    <w:rsid w:val="0E613656"/>
    <w:rsid w:val="0E72787E"/>
    <w:rsid w:val="0E86024B"/>
    <w:rsid w:val="0E983A75"/>
    <w:rsid w:val="0E9F5739"/>
    <w:rsid w:val="0EA33EF7"/>
    <w:rsid w:val="0EB94B40"/>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13948"/>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21476"/>
    <w:rsid w:val="11C557B7"/>
    <w:rsid w:val="11DD6585"/>
    <w:rsid w:val="11E40B58"/>
    <w:rsid w:val="11F101CA"/>
    <w:rsid w:val="1201011E"/>
    <w:rsid w:val="120B6EA9"/>
    <w:rsid w:val="1228310E"/>
    <w:rsid w:val="12313D6F"/>
    <w:rsid w:val="12325B1D"/>
    <w:rsid w:val="1244691E"/>
    <w:rsid w:val="124D2544"/>
    <w:rsid w:val="1251591B"/>
    <w:rsid w:val="12610602"/>
    <w:rsid w:val="126B461E"/>
    <w:rsid w:val="127D72F2"/>
    <w:rsid w:val="1296098F"/>
    <w:rsid w:val="12A908D3"/>
    <w:rsid w:val="12AA7F02"/>
    <w:rsid w:val="12AC48DF"/>
    <w:rsid w:val="12B31A9B"/>
    <w:rsid w:val="12B47253"/>
    <w:rsid w:val="12C14396"/>
    <w:rsid w:val="12DE33CA"/>
    <w:rsid w:val="12EA7758"/>
    <w:rsid w:val="12ED1E9A"/>
    <w:rsid w:val="12EF3F1E"/>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5700C7"/>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A87402"/>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57501"/>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276946"/>
    <w:rsid w:val="18381AC8"/>
    <w:rsid w:val="18414CA2"/>
    <w:rsid w:val="18523ADE"/>
    <w:rsid w:val="18660CD4"/>
    <w:rsid w:val="1866694B"/>
    <w:rsid w:val="186C1ACE"/>
    <w:rsid w:val="186D267B"/>
    <w:rsid w:val="186E6282"/>
    <w:rsid w:val="18890477"/>
    <w:rsid w:val="188C5B30"/>
    <w:rsid w:val="188C6C7D"/>
    <w:rsid w:val="18960812"/>
    <w:rsid w:val="189C7EF6"/>
    <w:rsid w:val="18B04B4D"/>
    <w:rsid w:val="18C5316D"/>
    <w:rsid w:val="18C95DAC"/>
    <w:rsid w:val="18E45EDB"/>
    <w:rsid w:val="18E51357"/>
    <w:rsid w:val="18E87E12"/>
    <w:rsid w:val="18F5052C"/>
    <w:rsid w:val="18F759A6"/>
    <w:rsid w:val="19041774"/>
    <w:rsid w:val="191D14D9"/>
    <w:rsid w:val="191D6F79"/>
    <w:rsid w:val="191E393A"/>
    <w:rsid w:val="19280474"/>
    <w:rsid w:val="1931532A"/>
    <w:rsid w:val="193D27C8"/>
    <w:rsid w:val="19693EEF"/>
    <w:rsid w:val="196B5F41"/>
    <w:rsid w:val="199860B4"/>
    <w:rsid w:val="19A33A02"/>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65037"/>
    <w:rsid w:val="1AEC64F5"/>
    <w:rsid w:val="1AF2383D"/>
    <w:rsid w:val="1AF52528"/>
    <w:rsid w:val="1B012875"/>
    <w:rsid w:val="1B157C1A"/>
    <w:rsid w:val="1B1A6E4B"/>
    <w:rsid w:val="1B211C8A"/>
    <w:rsid w:val="1B325062"/>
    <w:rsid w:val="1B333D86"/>
    <w:rsid w:val="1B4C5F0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607F36"/>
    <w:rsid w:val="1C6646A5"/>
    <w:rsid w:val="1C9A04D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3C32"/>
    <w:rsid w:val="1E4473F8"/>
    <w:rsid w:val="1E490459"/>
    <w:rsid w:val="1E50751B"/>
    <w:rsid w:val="1E545B82"/>
    <w:rsid w:val="1E6D1C74"/>
    <w:rsid w:val="1E736E4E"/>
    <w:rsid w:val="1E7E5EB1"/>
    <w:rsid w:val="1E85157F"/>
    <w:rsid w:val="1E9B048D"/>
    <w:rsid w:val="1EA61B83"/>
    <w:rsid w:val="1EA82227"/>
    <w:rsid w:val="1EAD188D"/>
    <w:rsid w:val="1EB200F0"/>
    <w:rsid w:val="1EBB5B15"/>
    <w:rsid w:val="1EBC72D1"/>
    <w:rsid w:val="1EBC7347"/>
    <w:rsid w:val="1EBF31D2"/>
    <w:rsid w:val="1EC642BC"/>
    <w:rsid w:val="1ECF5F59"/>
    <w:rsid w:val="1EDC2551"/>
    <w:rsid w:val="1EF23920"/>
    <w:rsid w:val="1EF80396"/>
    <w:rsid w:val="1EFC175F"/>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67F01"/>
    <w:rsid w:val="1FCB673D"/>
    <w:rsid w:val="1FCC738F"/>
    <w:rsid w:val="1FEE648E"/>
    <w:rsid w:val="1FF433BA"/>
    <w:rsid w:val="1FF9202F"/>
    <w:rsid w:val="20003026"/>
    <w:rsid w:val="200F3B23"/>
    <w:rsid w:val="201967D7"/>
    <w:rsid w:val="20374786"/>
    <w:rsid w:val="2039386F"/>
    <w:rsid w:val="20515762"/>
    <w:rsid w:val="20601C10"/>
    <w:rsid w:val="20610F1F"/>
    <w:rsid w:val="2068761A"/>
    <w:rsid w:val="206A35BB"/>
    <w:rsid w:val="20757C7B"/>
    <w:rsid w:val="20805A39"/>
    <w:rsid w:val="208650E9"/>
    <w:rsid w:val="20A13861"/>
    <w:rsid w:val="20A47AD9"/>
    <w:rsid w:val="20BB0C31"/>
    <w:rsid w:val="20C66D8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13890"/>
    <w:rsid w:val="216A75F1"/>
    <w:rsid w:val="21783CF4"/>
    <w:rsid w:val="2183462B"/>
    <w:rsid w:val="218E4A09"/>
    <w:rsid w:val="218E6399"/>
    <w:rsid w:val="21974E6F"/>
    <w:rsid w:val="219C6DDD"/>
    <w:rsid w:val="219D7448"/>
    <w:rsid w:val="21BE776A"/>
    <w:rsid w:val="21D15181"/>
    <w:rsid w:val="21D416C6"/>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74390"/>
    <w:rsid w:val="231847B8"/>
    <w:rsid w:val="231E3ED2"/>
    <w:rsid w:val="232A5278"/>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0E0128"/>
    <w:rsid w:val="2415698C"/>
    <w:rsid w:val="241E7985"/>
    <w:rsid w:val="242C6B52"/>
    <w:rsid w:val="243026FF"/>
    <w:rsid w:val="24351B4F"/>
    <w:rsid w:val="243647BB"/>
    <w:rsid w:val="24420388"/>
    <w:rsid w:val="24501237"/>
    <w:rsid w:val="24576A62"/>
    <w:rsid w:val="245E385D"/>
    <w:rsid w:val="246A0938"/>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5F313B2"/>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9B4D9B"/>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862FAB"/>
    <w:rsid w:val="278F67DD"/>
    <w:rsid w:val="27B778B7"/>
    <w:rsid w:val="27BF0D59"/>
    <w:rsid w:val="27CE4805"/>
    <w:rsid w:val="27DC01C9"/>
    <w:rsid w:val="27E53287"/>
    <w:rsid w:val="27E8590F"/>
    <w:rsid w:val="27EA6D62"/>
    <w:rsid w:val="27EE4F0B"/>
    <w:rsid w:val="28045E91"/>
    <w:rsid w:val="28115915"/>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906970"/>
    <w:rsid w:val="2AA47786"/>
    <w:rsid w:val="2AAA19F3"/>
    <w:rsid w:val="2AAD65EE"/>
    <w:rsid w:val="2AB23403"/>
    <w:rsid w:val="2ABC71D5"/>
    <w:rsid w:val="2AC37547"/>
    <w:rsid w:val="2AC77380"/>
    <w:rsid w:val="2ADD6AFD"/>
    <w:rsid w:val="2ADE6550"/>
    <w:rsid w:val="2AE0413B"/>
    <w:rsid w:val="2AE828B7"/>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66FC6"/>
    <w:rsid w:val="2BBE438D"/>
    <w:rsid w:val="2BD315B0"/>
    <w:rsid w:val="2BE373EE"/>
    <w:rsid w:val="2BEE2628"/>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272A0"/>
    <w:rsid w:val="2E493DCE"/>
    <w:rsid w:val="2E497A0B"/>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ED0E53"/>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8016F"/>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92DF7"/>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EA2929"/>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234599"/>
    <w:rsid w:val="344127C5"/>
    <w:rsid w:val="344241AA"/>
    <w:rsid w:val="3449655C"/>
    <w:rsid w:val="34526E6E"/>
    <w:rsid w:val="345B0A32"/>
    <w:rsid w:val="345B1895"/>
    <w:rsid w:val="3463085A"/>
    <w:rsid w:val="34753FC3"/>
    <w:rsid w:val="3485590E"/>
    <w:rsid w:val="34946C2E"/>
    <w:rsid w:val="34A24AD6"/>
    <w:rsid w:val="34C04708"/>
    <w:rsid w:val="34C967AE"/>
    <w:rsid w:val="34D46D17"/>
    <w:rsid w:val="34DB6424"/>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0B68BC"/>
    <w:rsid w:val="36103C4E"/>
    <w:rsid w:val="361D59BA"/>
    <w:rsid w:val="36247CCA"/>
    <w:rsid w:val="36280FB0"/>
    <w:rsid w:val="36400759"/>
    <w:rsid w:val="364225B8"/>
    <w:rsid w:val="364B4F18"/>
    <w:rsid w:val="364E7ED2"/>
    <w:rsid w:val="36544E83"/>
    <w:rsid w:val="365C59B6"/>
    <w:rsid w:val="36601F32"/>
    <w:rsid w:val="36631C6B"/>
    <w:rsid w:val="36684B33"/>
    <w:rsid w:val="367B06EC"/>
    <w:rsid w:val="367B49B4"/>
    <w:rsid w:val="368400A0"/>
    <w:rsid w:val="368B76C7"/>
    <w:rsid w:val="368D142C"/>
    <w:rsid w:val="36A57135"/>
    <w:rsid w:val="36AF0D32"/>
    <w:rsid w:val="36C10723"/>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2C5123"/>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264B"/>
    <w:rsid w:val="39235BBC"/>
    <w:rsid w:val="392E7D9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AE4503"/>
    <w:rsid w:val="3BB335AC"/>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5742AE"/>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11122"/>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AF1665"/>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6820A1"/>
    <w:rsid w:val="3F820F1F"/>
    <w:rsid w:val="3F9529AF"/>
    <w:rsid w:val="3F9819C8"/>
    <w:rsid w:val="3FB1447F"/>
    <w:rsid w:val="3FC35AFC"/>
    <w:rsid w:val="3FC41983"/>
    <w:rsid w:val="3FD1414D"/>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076FB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349D"/>
    <w:rsid w:val="41C855F3"/>
    <w:rsid w:val="41CF3C25"/>
    <w:rsid w:val="41D26FA7"/>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9D4B10"/>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031B40"/>
    <w:rsid w:val="4B2A2312"/>
    <w:rsid w:val="4B447E66"/>
    <w:rsid w:val="4B497841"/>
    <w:rsid w:val="4B503DE9"/>
    <w:rsid w:val="4B592E57"/>
    <w:rsid w:val="4B731311"/>
    <w:rsid w:val="4B875FCE"/>
    <w:rsid w:val="4B9A2375"/>
    <w:rsid w:val="4BAD17E4"/>
    <w:rsid w:val="4BDC3C83"/>
    <w:rsid w:val="4BDE7E35"/>
    <w:rsid w:val="4BF9319F"/>
    <w:rsid w:val="4C0D0455"/>
    <w:rsid w:val="4C1F7A5B"/>
    <w:rsid w:val="4C221D61"/>
    <w:rsid w:val="4C2E4987"/>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AE157A"/>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A6558"/>
    <w:rsid w:val="4E7D60BC"/>
    <w:rsid w:val="4E865C84"/>
    <w:rsid w:val="4EB00275"/>
    <w:rsid w:val="4EDE397C"/>
    <w:rsid w:val="4EE8169B"/>
    <w:rsid w:val="4EF06C46"/>
    <w:rsid w:val="4EF614BA"/>
    <w:rsid w:val="4EF62402"/>
    <w:rsid w:val="4EFB53AB"/>
    <w:rsid w:val="4F087D26"/>
    <w:rsid w:val="4F35630A"/>
    <w:rsid w:val="4F362E18"/>
    <w:rsid w:val="4F3E1627"/>
    <w:rsid w:val="4F4551C9"/>
    <w:rsid w:val="4F497B36"/>
    <w:rsid w:val="4F540B41"/>
    <w:rsid w:val="4F547EAA"/>
    <w:rsid w:val="4F5B616B"/>
    <w:rsid w:val="4F5E121F"/>
    <w:rsid w:val="4F614D44"/>
    <w:rsid w:val="4F832885"/>
    <w:rsid w:val="4F9039FE"/>
    <w:rsid w:val="4FA22786"/>
    <w:rsid w:val="4FAA20BA"/>
    <w:rsid w:val="4FB5670E"/>
    <w:rsid w:val="4FBE2BCB"/>
    <w:rsid w:val="4FD901C9"/>
    <w:rsid w:val="4FE02223"/>
    <w:rsid w:val="502C5C3A"/>
    <w:rsid w:val="5037510A"/>
    <w:rsid w:val="503B2076"/>
    <w:rsid w:val="50437224"/>
    <w:rsid w:val="50490678"/>
    <w:rsid w:val="504E0549"/>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6609F8"/>
    <w:rsid w:val="51790E28"/>
    <w:rsid w:val="517C7028"/>
    <w:rsid w:val="517F5C5F"/>
    <w:rsid w:val="51956070"/>
    <w:rsid w:val="519634A4"/>
    <w:rsid w:val="519B6609"/>
    <w:rsid w:val="51AD08D9"/>
    <w:rsid w:val="51B858B2"/>
    <w:rsid w:val="51BE6CEC"/>
    <w:rsid w:val="51C26588"/>
    <w:rsid w:val="51D82383"/>
    <w:rsid w:val="51DE4114"/>
    <w:rsid w:val="51DE5AD9"/>
    <w:rsid w:val="51E31D3C"/>
    <w:rsid w:val="51EF617D"/>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70507D"/>
    <w:rsid w:val="528522F3"/>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93A06"/>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2E65CF"/>
    <w:rsid w:val="553B76B4"/>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64FE8"/>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9015094"/>
    <w:rsid w:val="59033141"/>
    <w:rsid w:val="592A36F8"/>
    <w:rsid w:val="5930512A"/>
    <w:rsid w:val="59413198"/>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16CB8"/>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2920A7"/>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2D376B"/>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A4622"/>
    <w:rsid w:val="5DEC3B70"/>
    <w:rsid w:val="5DF84369"/>
    <w:rsid w:val="5DF92DCB"/>
    <w:rsid w:val="5E091FB5"/>
    <w:rsid w:val="5E0B27F9"/>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14EEA"/>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11EAD"/>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57D7D"/>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9753E7"/>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9E4713"/>
    <w:rsid w:val="69A23095"/>
    <w:rsid w:val="69AB5DBB"/>
    <w:rsid w:val="69B06EFE"/>
    <w:rsid w:val="69B840F1"/>
    <w:rsid w:val="69C91948"/>
    <w:rsid w:val="69CC3785"/>
    <w:rsid w:val="69F22996"/>
    <w:rsid w:val="69F43AC2"/>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4B6D62"/>
    <w:rsid w:val="6B56591A"/>
    <w:rsid w:val="6B583439"/>
    <w:rsid w:val="6B5A54FD"/>
    <w:rsid w:val="6B5B3158"/>
    <w:rsid w:val="6B726A7C"/>
    <w:rsid w:val="6B8833D8"/>
    <w:rsid w:val="6B8902B7"/>
    <w:rsid w:val="6BA832B8"/>
    <w:rsid w:val="6BB54A7D"/>
    <w:rsid w:val="6BBA5C26"/>
    <w:rsid w:val="6BC644EC"/>
    <w:rsid w:val="6BC95DA0"/>
    <w:rsid w:val="6BDB04B6"/>
    <w:rsid w:val="6BE87D8B"/>
    <w:rsid w:val="6BE963BE"/>
    <w:rsid w:val="6C0072EB"/>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2B0FAE"/>
    <w:rsid w:val="6D464DCC"/>
    <w:rsid w:val="6D513210"/>
    <w:rsid w:val="6D5216BC"/>
    <w:rsid w:val="6D616216"/>
    <w:rsid w:val="6D627650"/>
    <w:rsid w:val="6D663E0B"/>
    <w:rsid w:val="6D7B052E"/>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181E"/>
    <w:rsid w:val="70CE2945"/>
    <w:rsid w:val="70DA395B"/>
    <w:rsid w:val="70E03E42"/>
    <w:rsid w:val="70FF73CC"/>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63829"/>
    <w:rsid w:val="73300890"/>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DF600F"/>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D6BBB"/>
    <w:rsid w:val="77FE2EB7"/>
    <w:rsid w:val="78022369"/>
    <w:rsid w:val="78044AA5"/>
    <w:rsid w:val="78065036"/>
    <w:rsid w:val="780D5CB6"/>
    <w:rsid w:val="7812689F"/>
    <w:rsid w:val="78366B8C"/>
    <w:rsid w:val="783B287A"/>
    <w:rsid w:val="78473DA2"/>
    <w:rsid w:val="78482C69"/>
    <w:rsid w:val="785E7689"/>
    <w:rsid w:val="78646C75"/>
    <w:rsid w:val="786A7B13"/>
    <w:rsid w:val="786C541C"/>
    <w:rsid w:val="78762B5D"/>
    <w:rsid w:val="78777631"/>
    <w:rsid w:val="78814E68"/>
    <w:rsid w:val="788249B9"/>
    <w:rsid w:val="78886D15"/>
    <w:rsid w:val="78B2035E"/>
    <w:rsid w:val="78B26E06"/>
    <w:rsid w:val="78B43B82"/>
    <w:rsid w:val="78B57D9C"/>
    <w:rsid w:val="78BB1830"/>
    <w:rsid w:val="78BB76EA"/>
    <w:rsid w:val="78D143A0"/>
    <w:rsid w:val="78E26C73"/>
    <w:rsid w:val="78E76B0F"/>
    <w:rsid w:val="78F45BFA"/>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8007C"/>
    <w:rsid w:val="7A790CA9"/>
    <w:rsid w:val="7A79527C"/>
    <w:rsid w:val="7A9B1977"/>
    <w:rsid w:val="7A9C2C3C"/>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BFE3831"/>
    <w:rsid w:val="7C054494"/>
    <w:rsid w:val="7C071C5F"/>
    <w:rsid w:val="7C1311BA"/>
    <w:rsid w:val="7C194469"/>
    <w:rsid w:val="7C1A6CD5"/>
    <w:rsid w:val="7C2630F4"/>
    <w:rsid w:val="7C352D2F"/>
    <w:rsid w:val="7C364E8E"/>
    <w:rsid w:val="7C3A066B"/>
    <w:rsid w:val="7C3F61A8"/>
    <w:rsid w:val="7C45471C"/>
    <w:rsid w:val="7C5243D6"/>
    <w:rsid w:val="7C537917"/>
    <w:rsid w:val="7C7E27D3"/>
    <w:rsid w:val="7C7F3629"/>
    <w:rsid w:val="7C8B7A6D"/>
    <w:rsid w:val="7C90110D"/>
    <w:rsid w:val="7C92457D"/>
    <w:rsid w:val="7C96404C"/>
    <w:rsid w:val="7C9B6AF6"/>
    <w:rsid w:val="7CA34622"/>
    <w:rsid w:val="7CAB4126"/>
    <w:rsid w:val="7CAE57C9"/>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0DEC"/>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582B2"/>
  <w15:docId w15:val="{C5C90397-0726-4FED-A5BD-3517ABE0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 w:type="paragraph" w:customStyle="1" w:styleId="References">
    <w:name w:val="References"/>
    <w:basedOn w:val="Normal"/>
    <w:qFormat/>
    <w:pPr>
      <w:numPr>
        <w:numId w:val="8"/>
      </w:numPr>
      <w:spacing w:after="60"/>
    </w:pPr>
    <w:rPr>
      <w:szCs w:val="16"/>
    </w:rPr>
  </w:style>
  <w:style w:type="paragraph" w:customStyle="1" w:styleId="18">
    <w:name w:val="リスト段落1"/>
    <w:basedOn w:val="Normal"/>
    <w:uiPriority w:val="34"/>
    <w:qFormat/>
    <w:pPr>
      <w:ind w:left="720"/>
      <w:contextualSpacing/>
    </w:pPr>
  </w:style>
  <w:style w:type="character" w:customStyle="1" w:styleId="CRCoverPageZchn">
    <w:name w:val="CR Cover Page Zchn"/>
    <w:link w:val="CRCoverPage"/>
    <w:qFormat/>
    <w:locked/>
    <w:rsid w:val="00C06FD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9933F-9962-44A1-AA3A-D3AEBBEE9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32</cp:revision>
  <dcterms:created xsi:type="dcterms:W3CDTF">2023-09-26T00:15:00Z</dcterms:created>
  <dcterms:modified xsi:type="dcterms:W3CDTF">2024-04-03T08:45:00Z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5680054BF07240EC8F931088F82CCE85</vt:lpwstr>
  </property>
</Properties>
</file>